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B06D7" w14:textId="3F85A307" w:rsidR="00880917" w:rsidRPr="00F1057A" w:rsidRDefault="00880917" w:rsidP="0089021D">
      <w:pPr>
        <w:pStyle w:val="NoSpacing"/>
        <w:jc w:val="center"/>
        <w:rPr>
          <w:rFonts w:ascii="Times New Roman" w:hAnsi="Times New Roman" w:cs="Times New Roman"/>
          <w:b/>
          <w:sz w:val="36"/>
          <w:szCs w:val="36"/>
        </w:rPr>
      </w:pPr>
      <w:bookmarkStart w:id="0" w:name="_GoBack"/>
      <w:bookmarkEnd w:id="0"/>
      <w:r w:rsidRPr="00F1057A">
        <w:rPr>
          <w:rFonts w:ascii="Times New Roman" w:hAnsi="Times New Roman" w:cs="Times New Roman"/>
          <w:i/>
          <w:sz w:val="36"/>
          <w:szCs w:val="36"/>
        </w:rPr>
        <w:t xml:space="preserve">Access to Credit for </w:t>
      </w:r>
      <w:r w:rsidR="00D719BF">
        <w:rPr>
          <w:rFonts w:ascii="Times New Roman" w:hAnsi="Times New Roman" w:cs="Times New Roman"/>
          <w:i/>
          <w:sz w:val="36"/>
          <w:szCs w:val="36"/>
        </w:rPr>
        <w:t xml:space="preserve">our </w:t>
      </w:r>
      <w:r w:rsidRPr="00F1057A">
        <w:rPr>
          <w:rFonts w:ascii="Times New Roman" w:hAnsi="Times New Roman" w:cs="Times New Roman"/>
          <w:i/>
          <w:sz w:val="36"/>
          <w:szCs w:val="36"/>
        </w:rPr>
        <w:t>Rural Econom</w:t>
      </w:r>
      <w:r w:rsidR="00D719BF">
        <w:rPr>
          <w:rFonts w:ascii="Times New Roman" w:hAnsi="Times New Roman" w:cs="Times New Roman"/>
          <w:i/>
          <w:sz w:val="36"/>
          <w:szCs w:val="36"/>
        </w:rPr>
        <w:t>y</w:t>
      </w:r>
      <w:r w:rsidRPr="00F1057A">
        <w:rPr>
          <w:rFonts w:ascii="Times New Roman" w:hAnsi="Times New Roman" w:cs="Times New Roman"/>
          <w:i/>
          <w:sz w:val="36"/>
          <w:szCs w:val="36"/>
        </w:rPr>
        <w:t xml:space="preserve"> (ACRE) Act of 2023</w:t>
      </w:r>
    </w:p>
    <w:p w14:paraId="5C0BF0E1" w14:textId="369D1F6A" w:rsidR="003326CB" w:rsidRPr="00F1057A" w:rsidRDefault="00754D0E" w:rsidP="0089021D">
      <w:pPr>
        <w:pStyle w:val="NoSpacing"/>
        <w:jc w:val="center"/>
        <w:rPr>
          <w:rFonts w:ascii="Times New Roman" w:hAnsi="Times New Roman" w:cs="Times New Roman"/>
          <w:b/>
          <w:sz w:val="28"/>
          <w:szCs w:val="28"/>
        </w:rPr>
      </w:pPr>
      <w:r w:rsidRPr="00F1057A">
        <w:rPr>
          <w:rFonts w:ascii="Times New Roman" w:hAnsi="Times New Roman" w:cs="Times New Roman"/>
          <w:b/>
          <w:sz w:val="28"/>
          <w:szCs w:val="28"/>
        </w:rPr>
        <w:t>Sustaining Credit &amp; Promoting Prosperity in Rural America</w:t>
      </w:r>
    </w:p>
    <w:p w14:paraId="5124D821" w14:textId="77777777" w:rsidR="00754D0E" w:rsidRPr="00B8084D" w:rsidRDefault="00754D0E" w:rsidP="00F0254D">
      <w:pPr>
        <w:pStyle w:val="NoSpacing"/>
        <w:rPr>
          <w:rFonts w:ascii="Times New Roman" w:hAnsi="Times New Roman" w:cs="Times New Roman"/>
        </w:rPr>
      </w:pPr>
    </w:p>
    <w:p w14:paraId="0D845584" w14:textId="77777777" w:rsidR="00754D0E" w:rsidRPr="0000446C" w:rsidRDefault="00754D0E" w:rsidP="00F0254D">
      <w:pPr>
        <w:pStyle w:val="NoSpacing"/>
        <w:rPr>
          <w:rFonts w:ascii="Times New Roman" w:hAnsi="Times New Roman" w:cs="Times New Roman"/>
          <w:sz w:val="21"/>
          <w:szCs w:val="21"/>
          <w:u w:val="single"/>
        </w:rPr>
      </w:pPr>
      <w:r w:rsidRPr="0000446C">
        <w:rPr>
          <w:rFonts w:ascii="Times New Roman" w:hAnsi="Times New Roman" w:cs="Times New Roman"/>
          <w:sz w:val="21"/>
          <w:szCs w:val="21"/>
          <w:u w:val="single"/>
        </w:rPr>
        <w:t>Overview</w:t>
      </w:r>
    </w:p>
    <w:p w14:paraId="28D14F2B" w14:textId="77777777" w:rsidR="00754D0E" w:rsidRPr="0000446C" w:rsidRDefault="00754D0E" w:rsidP="00F0254D">
      <w:pPr>
        <w:pStyle w:val="NoSpacing"/>
        <w:rPr>
          <w:rFonts w:ascii="Times New Roman" w:hAnsi="Times New Roman" w:cs="Times New Roman"/>
          <w:sz w:val="21"/>
          <w:szCs w:val="21"/>
        </w:rPr>
      </w:pPr>
    </w:p>
    <w:p w14:paraId="00D6F087" w14:textId="4E93C852" w:rsidR="00E10D79" w:rsidRPr="0000446C" w:rsidRDefault="004627E5" w:rsidP="00E10D79">
      <w:pPr>
        <w:pStyle w:val="NoSpacing"/>
        <w:rPr>
          <w:rFonts w:ascii="Times New Roman" w:hAnsi="Times New Roman" w:cs="Times New Roman"/>
          <w:sz w:val="21"/>
          <w:szCs w:val="21"/>
        </w:rPr>
      </w:pPr>
      <w:r w:rsidRPr="0000446C">
        <w:rPr>
          <w:rFonts w:ascii="Times New Roman" w:hAnsi="Times New Roman" w:cs="Times New Roman"/>
          <w:sz w:val="21"/>
          <w:szCs w:val="21"/>
        </w:rPr>
        <w:t>Agricultural production and the prosperity of farmers and ranchers is critical to the economy of agricultural states</w:t>
      </w:r>
      <w:r w:rsidR="00E42A1F" w:rsidRPr="0000446C">
        <w:rPr>
          <w:rFonts w:ascii="Times New Roman" w:hAnsi="Times New Roman" w:cs="Times New Roman"/>
          <w:sz w:val="21"/>
          <w:szCs w:val="21"/>
        </w:rPr>
        <w:t xml:space="preserve">, many of which </w:t>
      </w:r>
      <w:r w:rsidR="000D66FB" w:rsidRPr="0000446C">
        <w:rPr>
          <w:rFonts w:ascii="Times New Roman" w:hAnsi="Times New Roman" w:cs="Times New Roman"/>
          <w:sz w:val="21"/>
          <w:szCs w:val="21"/>
        </w:rPr>
        <w:t>face</w:t>
      </w:r>
      <w:r w:rsidRPr="0000446C">
        <w:rPr>
          <w:rFonts w:ascii="Times New Roman" w:hAnsi="Times New Roman" w:cs="Times New Roman"/>
          <w:sz w:val="21"/>
          <w:szCs w:val="21"/>
        </w:rPr>
        <w:t xml:space="preserve"> </w:t>
      </w:r>
      <w:r w:rsidR="000D66FB" w:rsidRPr="0000446C">
        <w:rPr>
          <w:rFonts w:ascii="Times New Roman" w:hAnsi="Times New Roman" w:cs="Times New Roman"/>
          <w:sz w:val="21"/>
          <w:szCs w:val="21"/>
        </w:rPr>
        <w:t xml:space="preserve">unique challenges due to outmigration, </w:t>
      </w:r>
      <w:r w:rsidR="00F4552B" w:rsidRPr="0000446C">
        <w:rPr>
          <w:rFonts w:ascii="Times New Roman" w:hAnsi="Times New Roman" w:cs="Times New Roman"/>
          <w:sz w:val="21"/>
          <w:szCs w:val="21"/>
        </w:rPr>
        <w:t xml:space="preserve">limited </w:t>
      </w:r>
      <w:r w:rsidR="000D66FB" w:rsidRPr="0000446C">
        <w:rPr>
          <w:rFonts w:ascii="Times New Roman" w:hAnsi="Times New Roman" w:cs="Times New Roman"/>
          <w:sz w:val="21"/>
          <w:szCs w:val="21"/>
        </w:rPr>
        <w:t xml:space="preserve">job markets, and </w:t>
      </w:r>
      <w:r w:rsidR="00F4552B" w:rsidRPr="0000446C">
        <w:rPr>
          <w:rFonts w:ascii="Times New Roman" w:hAnsi="Times New Roman" w:cs="Times New Roman"/>
          <w:sz w:val="21"/>
          <w:szCs w:val="21"/>
        </w:rPr>
        <w:t xml:space="preserve">lower </w:t>
      </w:r>
      <w:r w:rsidR="000D66FB" w:rsidRPr="0000446C">
        <w:rPr>
          <w:rFonts w:ascii="Times New Roman" w:hAnsi="Times New Roman" w:cs="Times New Roman"/>
          <w:sz w:val="21"/>
          <w:szCs w:val="21"/>
        </w:rPr>
        <w:t xml:space="preserve">housing availability. </w:t>
      </w:r>
      <w:r w:rsidR="00F4552B" w:rsidRPr="0000446C">
        <w:rPr>
          <w:rFonts w:ascii="Times New Roman" w:hAnsi="Times New Roman" w:cs="Times New Roman"/>
          <w:sz w:val="21"/>
          <w:szCs w:val="21"/>
        </w:rPr>
        <w:t>Agriculture is the backbone of these communities and c</w:t>
      </w:r>
      <w:r w:rsidR="00441F71" w:rsidRPr="0000446C">
        <w:rPr>
          <w:rFonts w:ascii="Times New Roman" w:hAnsi="Times New Roman" w:cs="Times New Roman"/>
          <w:sz w:val="21"/>
          <w:szCs w:val="21"/>
        </w:rPr>
        <w:t>ommunity banks work every day to serve</w:t>
      </w:r>
      <w:r w:rsidR="00F4552B" w:rsidRPr="0000446C">
        <w:rPr>
          <w:rFonts w:ascii="Times New Roman" w:hAnsi="Times New Roman" w:cs="Times New Roman"/>
          <w:sz w:val="21"/>
          <w:szCs w:val="21"/>
        </w:rPr>
        <w:t xml:space="preserve"> </w:t>
      </w:r>
      <w:r w:rsidR="00441F71" w:rsidRPr="0000446C">
        <w:rPr>
          <w:rFonts w:ascii="Times New Roman" w:hAnsi="Times New Roman" w:cs="Times New Roman"/>
          <w:sz w:val="21"/>
          <w:szCs w:val="21"/>
        </w:rPr>
        <w:t xml:space="preserve">farm and ranch customers in </w:t>
      </w:r>
      <w:r w:rsidR="00F4552B" w:rsidRPr="0000446C">
        <w:rPr>
          <w:rFonts w:ascii="Times New Roman" w:hAnsi="Times New Roman" w:cs="Times New Roman"/>
          <w:sz w:val="21"/>
          <w:szCs w:val="21"/>
        </w:rPr>
        <w:t xml:space="preserve">a difficult </w:t>
      </w:r>
      <w:r w:rsidR="00441F71" w:rsidRPr="0000446C">
        <w:rPr>
          <w:rFonts w:ascii="Times New Roman" w:hAnsi="Times New Roman" w:cs="Times New Roman"/>
          <w:sz w:val="21"/>
          <w:szCs w:val="21"/>
        </w:rPr>
        <w:t>agricultural lending climate</w:t>
      </w:r>
      <w:r w:rsidR="00F4552B" w:rsidRPr="0000446C">
        <w:rPr>
          <w:rFonts w:ascii="Times New Roman" w:hAnsi="Times New Roman" w:cs="Times New Roman"/>
          <w:sz w:val="21"/>
          <w:szCs w:val="21"/>
        </w:rPr>
        <w:t xml:space="preserve"> stressed</w:t>
      </w:r>
      <w:r w:rsidR="00441F71" w:rsidRPr="0000446C">
        <w:rPr>
          <w:rFonts w:ascii="Times New Roman" w:hAnsi="Times New Roman" w:cs="Times New Roman"/>
          <w:sz w:val="21"/>
          <w:szCs w:val="21"/>
        </w:rPr>
        <w:t xml:space="preserve"> by </w:t>
      </w:r>
      <w:r w:rsidR="00B8084D" w:rsidRPr="0000446C">
        <w:rPr>
          <w:rFonts w:ascii="Times New Roman" w:hAnsi="Times New Roman" w:cs="Times New Roman"/>
          <w:sz w:val="21"/>
          <w:szCs w:val="21"/>
        </w:rPr>
        <w:t>high interest rates</w:t>
      </w:r>
      <w:r w:rsidR="006A7D90" w:rsidRPr="0000446C">
        <w:rPr>
          <w:rFonts w:ascii="Times New Roman" w:hAnsi="Times New Roman" w:cs="Times New Roman"/>
          <w:sz w:val="21"/>
          <w:szCs w:val="21"/>
        </w:rPr>
        <w:t xml:space="preserve">, </w:t>
      </w:r>
      <w:r w:rsidR="00B8084D" w:rsidRPr="0000446C">
        <w:rPr>
          <w:rFonts w:ascii="Times New Roman" w:hAnsi="Times New Roman" w:cs="Times New Roman"/>
          <w:sz w:val="21"/>
          <w:szCs w:val="21"/>
        </w:rPr>
        <w:t>persistent inflation</w:t>
      </w:r>
      <w:r w:rsidR="006A7D90" w:rsidRPr="0000446C">
        <w:rPr>
          <w:rFonts w:ascii="Times New Roman" w:hAnsi="Times New Roman" w:cs="Times New Roman"/>
          <w:sz w:val="21"/>
          <w:szCs w:val="21"/>
        </w:rPr>
        <w:t xml:space="preserve"> and much higher input costs</w:t>
      </w:r>
      <w:r w:rsidR="00441F71" w:rsidRPr="0000446C">
        <w:rPr>
          <w:rFonts w:ascii="Times New Roman" w:hAnsi="Times New Roman" w:cs="Times New Roman"/>
          <w:sz w:val="21"/>
          <w:szCs w:val="21"/>
        </w:rPr>
        <w:t xml:space="preserve">. </w:t>
      </w:r>
      <w:r w:rsidR="00E10D79" w:rsidRPr="0000446C">
        <w:rPr>
          <w:rFonts w:ascii="Times New Roman" w:hAnsi="Times New Roman" w:cs="Times New Roman"/>
          <w:sz w:val="21"/>
          <w:szCs w:val="21"/>
        </w:rPr>
        <w:t>The FDIC reported that as of September 2021, there are 1</w:t>
      </w:r>
      <w:r w:rsidR="006127CA" w:rsidRPr="0000446C">
        <w:rPr>
          <w:rFonts w:ascii="Times New Roman" w:hAnsi="Times New Roman" w:cs="Times New Roman"/>
          <w:sz w:val="21"/>
          <w:szCs w:val="21"/>
        </w:rPr>
        <w:t>,</w:t>
      </w:r>
      <w:r w:rsidR="00E10D79" w:rsidRPr="0000446C">
        <w:rPr>
          <w:rFonts w:ascii="Times New Roman" w:hAnsi="Times New Roman" w:cs="Times New Roman"/>
          <w:sz w:val="21"/>
          <w:szCs w:val="21"/>
        </w:rPr>
        <w:t xml:space="preserve">153 agricultural banks, defined as those community banks with over twenty-five percent of their loans focused on agriculture. </w:t>
      </w:r>
      <w:r w:rsidR="003819B5" w:rsidRPr="00255872">
        <w:rPr>
          <w:rFonts w:ascii="Times New Roman" w:hAnsi="Times New Roman" w:cs="Times New Roman"/>
          <w:b/>
          <w:sz w:val="21"/>
          <w:szCs w:val="21"/>
        </w:rPr>
        <w:t>Community banks provide 80% of all financing to agriculture from the banking sector</w:t>
      </w:r>
      <w:r w:rsidR="003819B5" w:rsidRPr="003819B5">
        <w:rPr>
          <w:rFonts w:ascii="Times New Roman" w:hAnsi="Times New Roman" w:cs="Times New Roman"/>
          <w:sz w:val="21"/>
          <w:szCs w:val="21"/>
        </w:rPr>
        <w:t xml:space="preserve"> and are often the catalysts for new and expanded business opportunities within their communities.</w:t>
      </w:r>
    </w:p>
    <w:p w14:paraId="50D61E98" w14:textId="77777777" w:rsidR="007A65BA" w:rsidRPr="0000446C" w:rsidRDefault="007A65BA" w:rsidP="00F0254D">
      <w:pPr>
        <w:pStyle w:val="NoSpacing"/>
        <w:rPr>
          <w:rFonts w:ascii="Times New Roman" w:hAnsi="Times New Roman" w:cs="Times New Roman"/>
          <w:sz w:val="21"/>
          <w:szCs w:val="21"/>
        </w:rPr>
      </w:pPr>
    </w:p>
    <w:p w14:paraId="416085DC" w14:textId="75D0A039" w:rsidR="00E10D79" w:rsidRPr="0000446C" w:rsidRDefault="0004680D" w:rsidP="00E10D79">
      <w:pPr>
        <w:pStyle w:val="NoSpacing"/>
        <w:rPr>
          <w:rFonts w:ascii="Times New Roman" w:hAnsi="Times New Roman" w:cs="Times New Roman"/>
          <w:sz w:val="21"/>
          <w:szCs w:val="21"/>
        </w:rPr>
      </w:pPr>
      <w:r w:rsidRPr="0000446C">
        <w:rPr>
          <w:rFonts w:ascii="Times New Roman" w:hAnsi="Times New Roman" w:cs="Times New Roman"/>
          <w:sz w:val="21"/>
          <w:szCs w:val="21"/>
        </w:rPr>
        <w:t>A lack of h</w:t>
      </w:r>
      <w:r w:rsidR="00E10D79" w:rsidRPr="0000446C">
        <w:rPr>
          <w:rFonts w:ascii="Times New Roman" w:hAnsi="Times New Roman" w:cs="Times New Roman"/>
          <w:sz w:val="21"/>
          <w:szCs w:val="21"/>
        </w:rPr>
        <w:t xml:space="preserve">ousing availability also plays a key role in preventing economic growth in rural America. Rural mortgage lending is a challenge for lenders because rural properties are often mixed use, consisting of large or multiple parcels of land and varying ownership structures which could include multiple family members. Community banks have long been a major source of credit for these borrowers due to their firsthand knowledge of the local market. </w:t>
      </w:r>
      <w:r w:rsidR="00F4552B" w:rsidRPr="0000446C">
        <w:rPr>
          <w:rFonts w:ascii="Times New Roman" w:hAnsi="Times New Roman" w:cs="Times New Roman"/>
          <w:sz w:val="21"/>
          <w:szCs w:val="21"/>
        </w:rPr>
        <w:t>However, h</w:t>
      </w:r>
      <w:r w:rsidR="006A7D90" w:rsidRPr="0000446C">
        <w:rPr>
          <w:rFonts w:ascii="Times New Roman" w:hAnsi="Times New Roman" w:cs="Times New Roman"/>
          <w:sz w:val="21"/>
          <w:szCs w:val="21"/>
        </w:rPr>
        <w:t xml:space="preserve">igher interest rates have made it difficult for many families </w:t>
      </w:r>
      <w:r w:rsidR="00F4552B" w:rsidRPr="0000446C">
        <w:rPr>
          <w:rFonts w:ascii="Times New Roman" w:hAnsi="Times New Roman" w:cs="Times New Roman"/>
          <w:sz w:val="21"/>
          <w:szCs w:val="21"/>
        </w:rPr>
        <w:t xml:space="preserve">to qualify for and </w:t>
      </w:r>
      <w:r w:rsidR="006A7D90" w:rsidRPr="0000446C">
        <w:rPr>
          <w:rFonts w:ascii="Times New Roman" w:hAnsi="Times New Roman" w:cs="Times New Roman"/>
          <w:sz w:val="21"/>
          <w:szCs w:val="21"/>
        </w:rPr>
        <w:t xml:space="preserve">afford a home mortgage. </w:t>
      </w:r>
    </w:p>
    <w:p w14:paraId="2EFC29A8" w14:textId="77777777" w:rsidR="00E10D79" w:rsidRPr="0000446C" w:rsidRDefault="00E10D79" w:rsidP="00E10D79">
      <w:pPr>
        <w:pStyle w:val="NoSpacing"/>
        <w:rPr>
          <w:rFonts w:ascii="Times New Roman" w:hAnsi="Times New Roman" w:cs="Times New Roman"/>
          <w:sz w:val="21"/>
          <w:szCs w:val="21"/>
        </w:rPr>
      </w:pPr>
    </w:p>
    <w:p w14:paraId="1AD6D89E" w14:textId="2C208BBC" w:rsidR="00B8084D" w:rsidRPr="0000446C" w:rsidRDefault="00FB5396" w:rsidP="00B8084D">
      <w:pPr>
        <w:pStyle w:val="NoSpacing"/>
        <w:rPr>
          <w:rFonts w:ascii="Times New Roman" w:hAnsi="Times New Roman" w:cs="Times New Roman"/>
          <w:sz w:val="21"/>
          <w:szCs w:val="21"/>
        </w:rPr>
      </w:pPr>
      <w:r w:rsidRPr="0000446C">
        <w:rPr>
          <w:rFonts w:ascii="Times New Roman" w:hAnsi="Times New Roman" w:cs="Times New Roman"/>
          <w:sz w:val="21"/>
          <w:szCs w:val="21"/>
        </w:rPr>
        <w:t>Soaring interest rates have decreased community banks’ ability to compete</w:t>
      </w:r>
      <w:r w:rsidR="000D66FB" w:rsidRPr="0000446C">
        <w:rPr>
          <w:rFonts w:ascii="Times New Roman" w:hAnsi="Times New Roman" w:cs="Times New Roman"/>
          <w:sz w:val="21"/>
          <w:szCs w:val="21"/>
        </w:rPr>
        <w:t xml:space="preserve"> for agricultural loans and mortgages</w:t>
      </w:r>
      <w:r w:rsidRPr="0000446C">
        <w:rPr>
          <w:rFonts w:ascii="Times New Roman" w:hAnsi="Times New Roman" w:cs="Times New Roman"/>
          <w:sz w:val="21"/>
          <w:szCs w:val="21"/>
        </w:rPr>
        <w:t xml:space="preserve"> with other lenders who enjoy </w:t>
      </w:r>
      <w:r w:rsidR="00F4552B" w:rsidRPr="0000446C">
        <w:rPr>
          <w:rFonts w:ascii="Times New Roman" w:hAnsi="Times New Roman" w:cs="Times New Roman"/>
          <w:sz w:val="21"/>
          <w:szCs w:val="21"/>
        </w:rPr>
        <w:t xml:space="preserve">very broad </w:t>
      </w:r>
      <w:r w:rsidRPr="0000446C">
        <w:rPr>
          <w:rFonts w:ascii="Times New Roman" w:hAnsi="Times New Roman" w:cs="Times New Roman"/>
          <w:sz w:val="21"/>
          <w:szCs w:val="21"/>
        </w:rPr>
        <w:t xml:space="preserve">tax </w:t>
      </w:r>
      <w:r w:rsidR="00C66882" w:rsidRPr="0000446C">
        <w:rPr>
          <w:rFonts w:ascii="Times New Roman" w:hAnsi="Times New Roman" w:cs="Times New Roman"/>
          <w:sz w:val="21"/>
          <w:szCs w:val="21"/>
        </w:rPr>
        <w:t xml:space="preserve">benefits. </w:t>
      </w:r>
      <w:r w:rsidR="00B8084D" w:rsidRPr="0000446C">
        <w:rPr>
          <w:rFonts w:ascii="Times New Roman" w:hAnsi="Times New Roman" w:cs="Times New Roman"/>
          <w:sz w:val="21"/>
          <w:szCs w:val="21"/>
        </w:rPr>
        <w:t>T</w:t>
      </w:r>
      <w:r w:rsidR="00E948B1" w:rsidRPr="0000446C">
        <w:rPr>
          <w:rFonts w:ascii="Times New Roman" w:hAnsi="Times New Roman" w:cs="Times New Roman"/>
          <w:sz w:val="21"/>
          <w:szCs w:val="21"/>
        </w:rPr>
        <w:t xml:space="preserve">o </w:t>
      </w:r>
      <w:r w:rsidR="00F4552B" w:rsidRPr="0000446C">
        <w:rPr>
          <w:rFonts w:ascii="Times New Roman" w:hAnsi="Times New Roman" w:cs="Times New Roman"/>
          <w:sz w:val="21"/>
          <w:szCs w:val="21"/>
        </w:rPr>
        <w:t xml:space="preserve">help </w:t>
      </w:r>
      <w:r w:rsidR="00C66882" w:rsidRPr="0000446C">
        <w:rPr>
          <w:rFonts w:ascii="Times New Roman" w:hAnsi="Times New Roman" w:cs="Times New Roman"/>
          <w:sz w:val="21"/>
          <w:szCs w:val="21"/>
        </w:rPr>
        <w:t xml:space="preserve">address </w:t>
      </w:r>
      <w:r w:rsidR="00E948B1" w:rsidRPr="0000446C">
        <w:rPr>
          <w:rFonts w:ascii="Times New Roman" w:hAnsi="Times New Roman" w:cs="Times New Roman"/>
          <w:sz w:val="21"/>
          <w:szCs w:val="21"/>
        </w:rPr>
        <w:t>this</w:t>
      </w:r>
      <w:r w:rsidR="00F4552B" w:rsidRPr="0000446C">
        <w:rPr>
          <w:rFonts w:ascii="Times New Roman" w:hAnsi="Times New Roman" w:cs="Times New Roman"/>
          <w:sz w:val="21"/>
          <w:szCs w:val="21"/>
        </w:rPr>
        <w:t xml:space="preserve"> inequity</w:t>
      </w:r>
      <w:r w:rsidR="00E948B1" w:rsidRPr="0000446C">
        <w:rPr>
          <w:rFonts w:ascii="Times New Roman" w:hAnsi="Times New Roman" w:cs="Times New Roman"/>
          <w:sz w:val="21"/>
          <w:szCs w:val="21"/>
        </w:rPr>
        <w:t>, t</w:t>
      </w:r>
      <w:r w:rsidR="00B8084D" w:rsidRPr="0000446C">
        <w:rPr>
          <w:rFonts w:ascii="Times New Roman" w:hAnsi="Times New Roman" w:cs="Times New Roman"/>
          <w:sz w:val="21"/>
          <w:szCs w:val="21"/>
        </w:rPr>
        <w:t xml:space="preserve">he </w:t>
      </w:r>
      <w:r w:rsidR="00B8084D" w:rsidRPr="0000446C">
        <w:rPr>
          <w:rFonts w:ascii="Times New Roman" w:hAnsi="Times New Roman" w:cs="Times New Roman"/>
          <w:i/>
          <w:sz w:val="21"/>
          <w:szCs w:val="21"/>
        </w:rPr>
        <w:t xml:space="preserve">Access to Credit for </w:t>
      </w:r>
      <w:r w:rsidR="009578BA">
        <w:rPr>
          <w:rFonts w:ascii="Times New Roman" w:hAnsi="Times New Roman" w:cs="Times New Roman"/>
          <w:i/>
          <w:sz w:val="21"/>
          <w:szCs w:val="21"/>
        </w:rPr>
        <w:t xml:space="preserve">our </w:t>
      </w:r>
      <w:r w:rsidR="00B8084D" w:rsidRPr="0000446C">
        <w:rPr>
          <w:rFonts w:ascii="Times New Roman" w:hAnsi="Times New Roman" w:cs="Times New Roman"/>
          <w:i/>
          <w:sz w:val="21"/>
          <w:szCs w:val="21"/>
        </w:rPr>
        <w:t>Rural Econom</w:t>
      </w:r>
      <w:r w:rsidR="009578BA">
        <w:rPr>
          <w:rFonts w:ascii="Times New Roman" w:hAnsi="Times New Roman" w:cs="Times New Roman"/>
          <w:i/>
          <w:sz w:val="21"/>
          <w:szCs w:val="21"/>
        </w:rPr>
        <w:t>y</w:t>
      </w:r>
      <w:r w:rsidR="00B8084D" w:rsidRPr="0000446C">
        <w:rPr>
          <w:rFonts w:ascii="Times New Roman" w:hAnsi="Times New Roman" w:cs="Times New Roman"/>
          <w:i/>
          <w:sz w:val="21"/>
          <w:szCs w:val="21"/>
        </w:rPr>
        <w:t xml:space="preserve"> (ACRE) Act of 2023</w:t>
      </w:r>
      <w:r w:rsidR="00B8084D" w:rsidRPr="0000446C">
        <w:rPr>
          <w:rFonts w:ascii="Times New Roman" w:hAnsi="Times New Roman" w:cs="Times New Roman"/>
          <w:sz w:val="21"/>
          <w:szCs w:val="21"/>
        </w:rPr>
        <w:t xml:space="preserve"> would ensure the ongoing ability of community banks to serve both agricultural producers and rural homeowners</w:t>
      </w:r>
      <w:r w:rsidR="00C246EE" w:rsidRPr="0000446C">
        <w:rPr>
          <w:rFonts w:ascii="Times New Roman" w:hAnsi="Times New Roman" w:cs="Times New Roman"/>
          <w:sz w:val="21"/>
          <w:szCs w:val="21"/>
        </w:rPr>
        <w:t>.</w:t>
      </w:r>
      <w:r w:rsidR="0000446C" w:rsidRPr="0000446C">
        <w:rPr>
          <w:rFonts w:ascii="Times New Roman" w:hAnsi="Times New Roman" w:cs="Times New Roman"/>
          <w:sz w:val="21"/>
          <w:szCs w:val="21"/>
        </w:rPr>
        <w:t xml:space="preserve"> This legislation would expand access to affordable ag real estate credit to more than 4,000 rural communities across the country and </w:t>
      </w:r>
      <w:r w:rsidR="0000446C" w:rsidRPr="00255872">
        <w:rPr>
          <w:rFonts w:ascii="Times New Roman" w:hAnsi="Times New Roman" w:cs="Times New Roman"/>
          <w:b/>
          <w:sz w:val="21"/>
          <w:szCs w:val="21"/>
        </w:rPr>
        <w:t>will deliver approximately $400 million worth of annual interest expense savings</w:t>
      </w:r>
      <w:r w:rsidR="0000446C" w:rsidRPr="0000446C">
        <w:rPr>
          <w:rFonts w:ascii="Times New Roman" w:hAnsi="Times New Roman" w:cs="Times New Roman"/>
          <w:sz w:val="21"/>
          <w:szCs w:val="21"/>
        </w:rPr>
        <w:t xml:space="preserve"> to farmers and ranchers in 2023 (ABA estimate). </w:t>
      </w:r>
    </w:p>
    <w:p w14:paraId="3F40DCEC" w14:textId="77777777" w:rsidR="0089021D" w:rsidRPr="0000446C" w:rsidRDefault="0089021D" w:rsidP="00F0254D">
      <w:pPr>
        <w:pStyle w:val="NoSpacing"/>
        <w:rPr>
          <w:rFonts w:ascii="Times New Roman" w:hAnsi="Times New Roman" w:cs="Times New Roman"/>
          <w:sz w:val="21"/>
          <w:szCs w:val="21"/>
        </w:rPr>
      </w:pPr>
    </w:p>
    <w:p w14:paraId="36681410" w14:textId="77777777" w:rsidR="0089021D" w:rsidRPr="0000446C" w:rsidRDefault="0089021D" w:rsidP="00F0254D">
      <w:pPr>
        <w:pStyle w:val="NoSpacing"/>
        <w:rPr>
          <w:rFonts w:ascii="Times New Roman" w:hAnsi="Times New Roman" w:cs="Times New Roman"/>
          <w:sz w:val="21"/>
          <w:szCs w:val="21"/>
          <w:u w:val="single"/>
        </w:rPr>
      </w:pPr>
      <w:r w:rsidRPr="0000446C">
        <w:rPr>
          <w:rFonts w:ascii="Times New Roman" w:hAnsi="Times New Roman" w:cs="Times New Roman"/>
          <w:sz w:val="21"/>
          <w:szCs w:val="21"/>
          <w:u w:val="single"/>
        </w:rPr>
        <w:t>What the ACRE Act Would Do</w:t>
      </w:r>
    </w:p>
    <w:p w14:paraId="51D68AD8" w14:textId="77777777" w:rsidR="00960967" w:rsidRPr="0000446C" w:rsidRDefault="00960967" w:rsidP="00853F7B">
      <w:pPr>
        <w:pStyle w:val="NoSpacing"/>
        <w:rPr>
          <w:rFonts w:ascii="Times New Roman" w:hAnsi="Times New Roman" w:cs="Times New Roman"/>
          <w:sz w:val="21"/>
          <w:szCs w:val="21"/>
        </w:rPr>
      </w:pPr>
      <w:bookmarkStart w:id="1" w:name="_Hlk127358389"/>
    </w:p>
    <w:p w14:paraId="2E9962ED" w14:textId="132846AB" w:rsidR="00B8084D" w:rsidRPr="0000446C" w:rsidRDefault="004018FB" w:rsidP="00B8084D">
      <w:pPr>
        <w:pStyle w:val="NoSpacing"/>
        <w:rPr>
          <w:rFonts w:ascii="Times New Roman" w:hAnsi="Times New Roman" w:cs="Times New Roman"/>
          <w:sz w:val="21"/>
          <w:szCs w:val="21"/>
        </w:rPr>
      </w:pPr>
      <w:r w:rsidRPr="0000446C">
        <w:rPr>
          <w:rFonts w:ascii="Times New Roman" w:hAnsi="Times New Roman" w:cs="Times New Roman"/>
          <w:sz w:val="21"/>
          <w:szCs w:val="21"/>
        </w:rPr>
        <w:t xml:space="preserve">Specifically, when community banks provide loans to farmers and ranchers secured by agricultural real estate, the interest earned from such loans would be exempt from </w:t>
      </w:r>
      <w:r w:rsidR="0004680D" w:rsidRPr="0000446C">
        <w:rPr>
          <w:rFonts w:ascii="Times New Roman" w:hAnsi="Times New Roman" w:cs="Times New Roman"/>
          <w:sz w:val="21"/>
          <w:szCs w:val="21"/>
        </w:rPr>
        <w:t xml:space="preserve">income </w:t>
      </w:r>
      <w:r w:rsidRPr="0000446C">
        <w:rPr>
          <w:rFonts w:ascii="Times New Roman" w:hAnsi="Times New Roman" w:cs="Times New Roman"/>
          <w:sz w:val="21"/>
          <w:szCs w:val="21"/>
        </w:rPr>
        <w:t>taxes. Likewise, this exemption would apply to single</w:t>
      </w:r>
      <w:r w:rsidR="00441F71" w:rsidRPr="0000446C">
        <w:rPr>
          <w:rFonts w:ascii="Times New Roman" w:hAnsi="Times New Roman" w:cs="Times New Roman"/>
          <w:sz w:val="21"/>
          <w:szCs w:val="21"/>
        </w:rPr>
        <w:t>-</w:t>
      </w:r>
      <w:r w:rsidRPr="0000446C">
        <w:rPr>
          <w:rFonts w:ascii="Times New Roman" w:hAnsi="Times New Roman" w:cs="Times New Roman"/>
          <w:sz w:val="21"/>
          <w:szCs w:val="21"/>
        </w:rPr>
        <w:t xml:space="preserve">family home mortgage loans in communities with a population of less than 2,500. </w:t>
      </w:r>
      <w:r w:rsidR="00B8084D" w:rsidRPr="0000446C">
        <w:rPr>
          <w:rFonts w:ascii="Times New Roman" w:hAnsi="Times New Roman" w:cs="Times New Roman"/>
          <w:sz w:val="21"/>
          <w:szCs w:val="21"/>
        </w:rPr>
        <w:t>The legislation would</w:t>
      </w:r>
      <w:r w:rsidR="00B8084D" w:rsidRPr="0000446C">
        <w:rPr>
          <w:sz w:val="21"/>
          <w:szCs w:val="21"/>
        </w:rPr>
        <w:t xml:space="preserve"> </w:t>
      </w:r>
      <w:r w:rsidR="00B8084D" w:rsidRPr="0000446C">
        <w:rPr>
          <w:rFonts w:ascii="Times New Roman" w:hAnsi="Times New Roman" w:cs="Times New Roman"/>
          <w:sz w:val="21"/>
          <w:szCs w:val="21"/>
        </w:rPr>
        <w:t xml:space="preserve">help </w:t>
      </w:r>
      <w:r w:rsidR="006D79DE" w:rsidRPr="0000446C">
        <w:rPr>
          <w:rFonts w:ascii="Times New Roman" w:hAnsi="Times New Roman" w:cs="Times New Roman"/>
          <w:sz w:val="21"/>
          <w:szCs w:val="21"/>
        </w:rPr>
        <w:t xml:space="preserve">maintain </w:t>
      </w:r>
      <w:r w:rsidR="00441F71" w:rsidRPr="0000446C">
        <w:rPr>
          <w:rFonts w:ascii="Times New Roman" w:hAnsi="Times New Roman" w:cs="Times New Roman"/>
          <w:sz w:val="21"/>
          <w:szCs w:val="21"/>
        </w:rPr>
        <w:t>small lenders</w:t>
      </w:r>
      <w:r w:rsidR="006D79DE" w:rsidRPr="0000446C">
        <w:rPr>
          <w:rFonts w:ascii="Times New Roman" w:hAnsi="Times New Roman" w:cs="Times New Roman"/>
          <w:sz w:val="21"/>
          <w:szCs w:val="21"/>
        </w:rPr>
        <w:t>’</w:t>
      </w:r>
      <w:r w:rsidR="00B8084D" w:rsidRPr="0000446C">
        <w:rPr>
          <w:rFonts w:ascii="Times New Roman" w:hAnsi="Times New Roman" w:cs="Times New Roman"/>
          <w:sz w:val="21"/>
          <w:szCs w:val="21"/>
        </w:rPr>
        <w:t xml:space="preserve"> </w:t>
      </w:r>
      <w:r w:rsidR="006D79DE" w:rsidRPr="0000446C">
        <w:rPr>
          <w:rFonts w:ascii="Times New Roman" w:hAnsi="Times New Roman" w:cs="Times New Roman"/>
          <w:sz w:val="21"/>
          <w:szCs w:val="21"/>
        </w:rPr>
        <w:t>ability to</w:t>
      </w:r>
      <w:r w:rsidR="00B8084D" w:rsidRPr="0000446C">
        <w:rPr>
          <w:rFonts w:ascii="Times New Roman" w:hAnsi="Times New Roman" w:cs="Times New Roman"/>
          <w:sz w:val="21"/>
          <w:szCs w:val="21"/>
        </w:rPr>
        <w:t xml:space="preserve"> serve the agricultural sector in these difficult times </w:t>
      </w:r>
      <w:r w:rsidR="006D79DE" w:rsidRPr="0000446C">
        <w:rPr>
          <w:rFonts w:ascii="Times New Roman" w:hAnsi="Times New Roman" w:cs="Times New Roman"/>
          <w:sz w:val="21"/>
          <w:szCs w:val="21"/>
        </w:rPr>
        <w:t>by</w:t>
      </w:r>
      <w:r w:rsidR="00B8084D" w:rsidRPr="0000446C">
        <w:rPr>
          <w:rFonts w:ascii="Times New Roman" w:hAnsi="Times New Roman" w:cs="Times New Roman"/>
          <w:sz w:val="21"/>
          <w:szCs w:val="21"/>
        </w:rPr>
        <w:t xml:space="preserve"> allowing </w:t>
      </w:r>
      <w:r w:rsidR="00441F71" w:rsidRPr="0000446C">
        <w:rPr>
          <w:rFonts w:ascii="Times New Roman" w:hAnsi="Times New Roman" w:cs="Times New Roman"/>
          <w:sz w:val="21"/>
          <w:szCs w:val="21"/>
        </w:rPr>
        <w:t xml:space="preserve">these </w:t>
      </w:r>
      <w:r w:rsidR="00B8084D" w:rsidRPr="0000446C">
        <w:rPr>
          <w:rFonts w:ascii="Times New Roman" w:hAnsi="Times New Roman" w:cs="Times New Roman"/>
          <w:sz w:val="21"/>
          <w:szCs w:val="21"/>
        </w:rPr>
        <w:t xml:space="preserve">banks the flexibility to </w:t>
      </w:r>
      <w:r w:rsidR="00441F71" w:rsidRPr="0000446C">
        <w:rPr>
          <w:rFonts w:ascii="Times New Roman" w:hAnsi="Times New Roman" w:cs="Times New Roman"/>
          <w:sz w:val="21"/>
          <w:szCs w:val="21"/>
        </w:rPr>
        <w:t xml:space="preserve">restructure loan terms and </w:t>
      </w:r>
      <w:r w:rsidR="00B8084D" w:rsidRPr="0000446C">
        <w:rPr>
          <w:rFonts w:ascii="Times New Roman" w:hAnsi="Times New Roman" w:cs="Times New Roman"/>
          <w:sz w:val="21"/>
          <w:szCs w:val="21"/>
        </w:rPr>
        <w:t xml:space="preserve">lower interest rates on farm </w:t>
      </w:r>
      <w:r w:rsidR="00C246EE" w:rsidRPr="0000446C">
        <w:rPr>
          <w:rFonts w:ascii="Times New Roman" w:hAnsi="Times New Roman" w:cs="Times New Roman"/>
          <w:sz w:val="21"/>
          <w:szCs w:val="21"/>
        </w:rPr>
        <w:t xml:space="preserve">real estate </w:t>
      </w:r>
      <w:r w:rsidR="00B8084D" w:rsidRPr="0000446C">
        <w:rPr>
          <w:rFonts w:ascii="Times New Roman" w:hAnsi="Times New Roman" w:cs="Times New Roman"/>
          <w:sz w:val="21"/>
          <w:szCs w:val="21"/>
        </w:rPr>
        <w:t>loans. This will help farmers survive ag sector downturns while ensuring credit availability to the next generation of agricultural producers.</w:t>
      </w:r>
      <w:r w:rsidR="00441F71" w:rsidRPr="0000446C">
        <w:rPr>
          <w:rFonts w:ascii="Times New Roman" w:hAnsi="Times New Roman" w:cs="Times New Roman"/>
          <w:sz w:val="21"/>
          <w:szCs w:val="21"/>
        </w:rPr>
        <w:t xml:space="preserve"> </w:t>
      </w:r>
    </w:p>
    <w:p w14:paraId="4D74EB80" w14:textId="77777777" w:rsidR="004018FB" w:rsidRPr="0000446C" w:rsidRDefault="004018FB" w:rsidP="00853F7B">
      <w:pPr>
        <w:pStyle w:val="NoSpacing"/>
        <w:rPr>
          <w:rFonts w:ascii="Times New Roman" w:hAnsi="Times New Roman" w:cs="Times New Roman"/>
          <w:sz w:val="21"/>
          <w:szCs w:val="21"/>
        </w:rPr>
      </w:pPr>
    </w:p>
    <w:p w14:paraId="2C1EBE76" w14:textId="0665CDEE" w:rsidR="00D02AB8" w:rsidRPr="0000446C" w:rsidRDefault="00960967" w:rsidP="00853F7B">
      <w:pPr>
        <w:pStyle w:val="NoSpacing"/>
        <w:rPr>
          <w:rFonts w:ascii="Times New Roman" w:hAnsi="Times New Roman" w:cs="Times New Roman"/>
          <w:sz w:val="21"/>
          <w:szCs w:val="21"/>
        </w:rPr>
      </w:pPr>
      <w:r w:rsidRPr="0000446C">
        <w:rPr>
          <w:rFonts w:ascii="Times New Roman" w:hAnsi="Times New Roman" w:cs="Times New Roman"/>
          <w:sz w:val="21"/>
          <w:szCs w:val="21"/>
        </w:rPr>
        <w:t>Th</w:t>
      </w:r>
      <w:r w:rsidR="00B8084D" w:rsidRPr="0000446C">
        <w:rPr>
          <w:rFonts w:ascii="Times New Roman" w:hAnsi="Times New Roman" w:cs="Times New Roman"/>
          <w:sz w:val="21"/>
          <w:szCs w:val="21"/>
        </w:rPr>
        <w:t xml:space="preserve">e ACRE Act </w:t>
      </w:r>
      <w:r w:rsidR="006D79DE" w:rsidRPr="0000446C">
        <w:rPr>
          <w:rFonts w:ascii="Times New Roman" w:hAnsi="Times New Roman" w:cs="Times New Roman"/>
          <w:sz w:val="21"/>
          <w:szCs w:val="21"/>
        </w:rPr>
        <w:t xml:space="preserve">also </w:t>
      </w:r>
      <w:r w:rsidRPr="0000446C">
        <w:rPr>
          <w:rFonts w:ascii="Times New Roman" w:hAnsi="Times New Roman" w:cs="Times New Roman"/>
          <w:sz w:val="21"/>
          <w:szCs w:val="21"/>
        </w:rPr>
        <w:t xml:space="preserve">enables banks to continue robustly serving the housing needs of rural Americans </w:t>
      </w:r>
      <w:r w:rsidR="006D79DE" w:rsidRPr="0000446C">
        <w:rPr>
          <w:rFonts w:ascii="Times New Roman" w:hAnsi="Times New Roman" w:cs="Times New Roman"/>
          <w:sz w:val="21"/>
          <w:szCs w:val="21"/>
        </w:rPr>
        <w:t>by</w:t>
      </w:r>
      <w:r w:rsidRPr="0000446C">
        <w:rPr>
          <w:rFonts w:ascii="Times New Roman" w:hAnsi="Times New Roman" w:cs="Times New Roman"/>
          <w:sz w:val="21"/>
          <w:szCs w:val="21"/>
        </w:rPr>
        <w:t xml:space="preserve"> assisting these communities in their efforts to meet current housing </w:t>
      </w:r>
      <w:r w:rsidR="006D79DE" w:rsidRPr="0000446C">
        <w:rPr>
          <w:rFonts w:ascii="Times New Roman" w:hAnsi="Times New Roman" w:cs="Times New Roman"/>
          <w:sz w:val="21"/>
          <w:szCs w:val="21"/>
        </w:rPr>
        <w:t>demand</w:t>
      </w:r>
      <w:r w:rsidRPr="0000446C">
        <w:rPr>
          <w:rFonts w:ascii="Times New Roman" w:hAnsi="Times New Roman" w:cs="Times New Roman"/>
          <w:sz w:val="21"/>
          <w:szCs w:val="21"/>
        </w:rPr>
        <w:t xml:space="preserve"> while attracting outside businesses and homeowners. </w:t>
      </w:r>
      <w:r w:rsidR="00B8084D" w:rsidRPr="0000446C">
        <w:rPr>
          <w:rFonts w:ascii="Times New Roman" w:hAnsi="Times New Roman" w:cs="Times New Roman"/>
          <w:sz w:val="21"/>
          <w:szCs w:val="21"/>
        </w:rPr>
        <w:t>By allowing rural community banks more flexibility, they will be able to assist farm and ranch borrowers who may have trouble servicing existing debt by lowering their interest rates</w:t>
      </w:r>
      <w:r w:rsidR="006A7D90" w:rsidRPr="0000446C">
        <w:rPr>
          <w:rFonts w:ascii="Times New Roman" w:hAnsi="Times New Roman" w:cs="Times New Roman"/>
          <w:sz w:val="21"/>
          <w:szCs w:val="21"/>
        </w:rPr>
        <w:t xml:space="preserve">. Additionally, lower cost loans will encourage </w:t>
      </w:r>
      <w:r w:rsidR="0004680D" w:rsidRPr="0000446C">
        <w:rPr>
          <w:rFonts w:ascii="Times New Roman" w:hAnsi="Times New Roman" w:cs="Times New Roman"/>
          <w:sz w:val="21"/>
          <w:szCs w:val="21"/>
        </w:rPr>
        <w:t>growth in the rural housing sector.</w:t>
      </w:r>
    </w:p>
    <w:p w14:paraId="48CA0770" w14:textId="77777777" w:rsidR="001B5613" w:rsidRPr="0000446C" w:rsidRDefault="001B5613" w:rsidP="00853F7B">
      <w:pPr>
        <w:pStyle w:val="NoSpacing"/>
        <w:rPr>
          <w:rFonts w:ascii="Times New Roman" w:hAnsi="Times New Roman" w:cs="Times New Roman"/>
          <w:sz w:val="21"/>
          <w:szCs w:val="21"/>
        </w:rPr>
      </w:pPr>
    </w:p>
    <w:bookmarkEnd w:id="1"/>
    <w:p w14:paraId="08E172F0" w14:textId="2F231E71" w:rsidR="0089021D" w:rsidRDefault="00880917" w:rsidP="00F0254D">
      <w:pPr>
        <w:pStyle w:val="NoSpacing"/>
        <w:rPr>
          <w:rFonts w:ascii="Times New Roman" w:hAnsi="Times New Roman" w:cs="Times New Roman"/>
          <w:sz w:val="21"/>
          <w:szCs w:val="21"/>
        </w:rPr>
      </w:pPr>
      <w:r w:rsidRPr="0000446C">
        <w:rPr>
          <w:rFonts w:ascii="Times New Roman" w:hAnsi="Times New Roman" w:cs="Times New Roman"/>
          <w:sz w:val="21"/>
          <w:szCs w:val="21"/>
        </w:rPr>
        <w:t xml:space="preserve">ACRE </w:t>
      </w:r>
      <w:r w:rsidR="00960967" w:rsidRPr="0000446C">
        <w:rPr>
          <w:rFonts w:ascii="Times New Roman" w:hAnsi="Times New Roman" w:cs="Times New Roman"/>
          <w:sz w:val="21"/>
          <w:szCs w:val="21"/>
        </w:rPr>
        <w:t xml:space="preserve">will help level the competitive landscape with other types of lenders that enjoy </w:t>
      </w:r>
      <w:r w:rsidR="00C66882" w:rsidRPr="0000446C">
        <w:rPr>
          <w:rFonts w:ascii="Times New Roman" w:hAnsi="Times New Roman" w:cs="Times New Roman"/>
          <w:sz w:val="21"/>
          <w:szCs w:val="21"/>
        </w:rPr>
        <w:t xml:space="preserve">these </w:t>
      </w:r>
      <w:r w:rsidR="00960967" w:rsidRPr="0000446C">
        <w:rPr>
          <w:rFonts w:ascii="Times New Roman" w:hAnsi="Times New Roman" w:cs="Times New Roman"/>
          <w:sz w:val="21"/>
          <w:szCs w:val="21"/>
        </w:rPr>
        <w:t>tax preferences</w:t>
      </w:r>
      <w:r w:rsidR="00C66882" w:rsidRPr="0000446C">
        <w:rPr>
          <w:rFonts w:ascii="Times New Roman" w:hAnsi="Times New Roman" w:cs="Times New Roman"/>
          <w:sz w:val="21"/>
          <w:szCs w:val="21"/>
        </w:rPr>
        <w:t xml:space="preserve">. </w:t>
      </w:r>
      <w:r w:rsidR="00C246EE" w:rsidRPr="0000446C">
        <w:rPr>
          <w:rFonts w:ascii="Times New Roman" w:hAnsi="Times New Roman" w:cs="Times New Roman"/>
          <w:sz w:val="21"/>
          <w:szCs w:val="21"/>
        </w:rPr>
        <w:t xml:space="preserve"> </w:t>
      </w:r>
      <w:r w:rsidR="00C246EE" w:rsidRPr="00255872">
        <w:rPr>
          <w:rFonts w:ascii="Times New Roman" w:hAnsi="Times New Roman" w:cs="Times New Roman"/>
          <w:b/>
          <w:sz w:val="21"/>
          <w:szCs w:val="21"/>
        </w:rPr>
        <w:t>Community banks provide ninety percent of ag real estate loans under $500,000 from the banking sector.</w:t>
      </w:r>
      <w:r w:rsidR="00C246EE" w:rsidRPr="0000446C">
        <w:rPr>
          <w:rFonts w:ascii="Times New Roman" w:hAnsi="Times New Roman" w:cs="Times New Roman"/>
          <w:sz w:val="21"/>
          <w:szCs w:val="21"/>
        </w:rPr>
        <w:t xml:space="preserve"> </w:t>
      </w:r>
      <w:r w:rsidR="00520B6C">
        <w:rPr>
          <w:rFonts w:ascii="Times New Roman" w:hAnsi="Times New Roman" w:cs="Times New Roman"/>
          <w:sz w:val="21"/>
          <w:szCs w:val="21"/>
        </w:rPr>
        <w:t>The bill will</w:t>
      </w:r>
      <w:r w:rsidR="00C246EE" w:rsidRPr="0000446C">
        <w:rPr>
          <w:rFonts w:ascii="Times New Roman" w:hAnsi="Times New Roman" w:cs="Times New Roman"/>
          <w:sz w:val="21"/>
          <w:szCs w:val="21"/>
        </w:rPr>
        <w:t xml:space="preserve"> boost lending to young, beginning and small farm borrowers</w:t>
      </w:r>
      <w:r w:rsidR="00F4552B" w:rsidRPr="0000446C">
        <w:rPr>
          <w:rFonts w:ascii="Times New Roman" w:hAnsi="Times New Roman" w:cs="Times New Roman"/>
          <w:sz w:val="21"/>
          <w:szCs w:val="21"/>
        </w:rPr>
        <w:t xml:space="preserve"> helping </w:t>
      </w:r>
      <w:r w:rsidR="005B6299" w:rsidRPr="0000446C">
        <w:rPr>
          <w:rFonts w:ascii="Times New Roman" w:hAnsi="Times New Roman" w:cs="Times New Roman"/>
          <w:sz w:val="21"/>
          <w:szCs w:val="21"/>
        </w:rPr>
        <w:t xml:space="preserve">ensure they </w:t>
      </w:r>
      <w:r w:rsidR="00F4552B" w:rsidRPr="0000446C">
        <w:rPr>
          <w:rFonts w:ascii="Times New Roman" w:hAnsi="Times New Roman" w:cs="Times New Roman"/>
          <w:sz w:val="21"/>
          <w:szCs w:val="21"/>
        </w:rPr>
        <w:t>become viable operations both now and in the future.</w:t>
      </w:r>
      <w:r w:rsidR="00C00335" w:rsidRPr="0000446C">
        <w:rPr>
          <w:rFonts w:ascii="Times New Roman" w:hAnsi="Times New Roman" w:cs="Times New Roman"/>
          <w:sz w:val="21"/>
          <w:szCs w:val="21"/>
        </w:rPr>
        <w:t xml:space="preserve"> </w:t>
      </w:r>
      <w:r w:rsidR="006D79DE" w:rsidRPr="0000446C">
        <w:rPr>
          <w:rFonts w:ascii="Times New Roman" w:hAnsi="Times New Roman" w:cs="Times New Roman"/>
          <w:sz w:val="21"/>
          <w:szCs w:val="21"/>
        </w:rPr>
        <w:t>With b</w:t>
      </w:r>
      <w:r w:rsidR="004627E5" w:rsidRPr="0000446C">
        <w:rPr>
          <w:rFonts w:ascii="Times New Roman" w:hAnsi="Times New Roman" w:cs="Times New Roman"/>
          <w:sz w:val="21"/>
          <w:szCs w:val="21"/>
        </w:rPr>
        <w:t>anks’ share of total farm sector debt ha</w:t>
      </w:r>
      <w:r w:rsidR="006D79DE" w:rsidRPr="0000446C">
        <w:rPr>
          <w:rFonts w:ascii="Times New Roman" w:hAnsi="Times New Roman" w:cs="Times New Roman"/>
          <w:sz w:val="21"/>
          <w:szCs w:val="21"/>
        </w:rPr>
        <w:t>ving</w:t>
      </w:r>
      <w:r w:rsidR="004627E5" w:rsidRPr="0000446C">
        <w:rPr>
          <w:rFonts w:ascii="Times New Roman" w:hAnsi="Times New Roman" w:cs="Times New Roman"/>
          <w:sz w:val="21"/>
          <w:szCs w:val="21"/>
        </w:rPr>
        <w:t xml:space="preserve"> fallen to 31% in 2021</w:t>
      </w:r>
      <w:r w:rsidR="006D79DE" w:rsidRPr="0000446C">
        <w:rPr>
          <w:rFonts w:ascii="Times New Roman" w:hAnsi="Times New Roman" w:cs="Times New Roman"/>
          <w:sz w:val="21"/>
          <w:szCs w:val="21"/>
        </w:rPr>
        <w:t>, i</w:t>
      </w:r>
      <w:r w:rsidR="00960967" w:rsidRPr="0000446C">
        <w:rPr>
          <w:rFonts w:ascii="Times New Roman" w:hAnsi="Times New Roman" w:cs="Times New Roman"/>
          <w:sz w:val="21"/>
          <w:szCs w:val="21"/>
        </w:rPr>
        <w:t xml:space="preserve">t is </w:t>
      </w:r>
      <w:r w:rsidR="006D79DE" w:rsidRPr="0000446C">
        <w:rPr>
          <w:rFonts w:ascii="Times New Roman" w:hAnsi="Times New Roman" w:cs="Times New Roman"/>
          <w:sz w:val="21"/>
          <w:szCs w:val="21"/>
        </w:rPr>
        <w:t xml:space="preserve">more </w:t>
      </w:r>
      <w:r w:rsidR="00960967" w:rsidRPr="0000446C">
        <w:rPr>
          <w:rFonts w:ascii="Times New Roman" w:hAnsi="Times New Roman" w:cs="Times New Roman"/>
          <w:sz w:val="21"/>
          <w:szCs w:val="21"/>
        </w:rPr>
        <w:t xml:space="preserve">important </w:t>
      </w:r>
      <w:r w:rsidR="006D79DE" w:rsidRPr="0000446C">
        <w:rPr>
          <w:rFonts w:ascii="Times New Roman" w:hAnsi="Times New Roman" w:cs="Times New Roman"/>
          <w:sz w:val="21"/>
          <w:szCs w:val="21"/>
        </w:rPr>
        <w:t xml:space="preserve">than ever </w:t>
      </w:r>
      <w:r w:rsidR="00960967" w:rsidRPr="0000446C">
        <w:rPr>
          <w:rFonts w:ascii="Times New Roman" w:hAnsi="Times New Roman" w:cs="Times New Roman"/>
          <w:sz w:val="21"/>
          <w:szCs w:val="21"/>
        </w:rPr>
        <w:t xml:space="preserve">to ensure </w:t>
      </w:r>
      <w:r w:rsidR="006D79DE" w:rsidRPr="0000446C">
        <w:rPr>
          <w:rFonts w:ascii="Times New Roman" w:hAnsi="Times New Roman" w:cs="Times New Roman"/>
          <w:sz w:val="21"/>
          <w:szCs w:val="21"/>
        </w:rPr>
        <w:t xml:space="preserve">the thousands of agricultural </w:t>
      </w:r>
      <w:r w:rsidR="00960967" w:rsidRPr="0000446C">
        <w:rPr>
          <w:rFonts w:ascii="Times New Roman" w:hAnsi="Times New Roman" w:cs="Times New Roman"/>
          <w:sz w:val="21"/>
          <w:szCs w:val="21"/>
        </w:rPr>
        <w:t>community banks</w:t>
      </w:r>
      <w:r w:rsidR="006D79DE" w:rsidRPr="0000446C">
        <w:rPr>
          <w:rFonts w:ascii="Times New Roman" w:hAnsi="Times New Roman" w:cs="Times New Roman"/>
          <w:sz w:val="21"/>
          <w:szCs w:val="21"/>
        </w:rPr>
        <w:t xml:space="preserve"> </w:t>
      </w:r>
      <w:r w:rsidR="00960967" w:rsidRPr="0000446C">
        <w:rPr>
          <w:rFonts w:ascii="Times New Roman" w:hAnsi="Times New Roman" w:cs="Times New Roman"/>
          <w:sz w:val="21"/>
          <w:szCs w:val="21"/>
        </w:rPr>
        <w:t>can continue to serve the rural marketplace.</w:t>
      </w:r>
      <w:r w:rsidR="006D79DE" w:rsidRPr="0000446C">
        <w:rPr>
          <w:rFonts w:ascii="Times New Roman" w:hAnsi="Times New Roman" w:cs="Times New Roman"/>
          <w:sz w:val="21"/>
          <w:szCs w:val="21"/>
        </w:rPr>
        <w:t xml:space="preserve"> </w:t>
      </w:r>
    </w:p>
    <w:p w14:paraId="74E8C41C" w14:textId="77777777" w:rsidR="0000446C" w:rsidRPr="0000446C" w:rsidRDefault="0000446C" w:rsidP="00F0254D">
      <w:pPr>
        <w:pStyle w:val="NoSpacing"/>
        <w:rPr>
          <w:rFonts w:ascii="Times New Roman" w:hAnsi="Times New Roman" w:cs="Times New Roman"/>
          <w:sz w:val="21"/>
          <w:szCs w:val="21"/>
        </w:rPr>
      </w:pPr>
    </w:p>
    <w:sectPr w:rsidR="0000446C" w:rsidRPr="0000446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CF2B5" w14:textId="77777777" w:rsidR="005028F7" w:rsidRDefault="005028F7" w:rsidP="00B8084D">
      <w:pPr>
        <w:spacing w:after="0" w:line="240" w:lineRule="auto"/>
      </w:pPr>
      <w:r>
        <w:separator/>
      </w:r>
    </w:p>
  </w:endnote>
  <w:endnote w:type="continuationSeparator" w:id="0">
    <w:p w14:paraId="1937B185" w14:textId="77777777" w:rsidR="005028F7" w:rsidRDefault="005028F7" w:rsidP="00B80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E927F" w14:textId="77777777" w:rsidR="00520B6C" w:rsidRPr="0000446C" w:rsidRDefault="00520B6C" w:rsidP="00520B6C">
    <w:pPr>
      <w:pStyle w:val="NoSpacing"/>
      <w:rPr>
        <w:rFonts w:ascii="Times New Roman" w:hAnsi="Times New Roman" w:cs="Times New Roman"/>
        <w:sz w:val="21"/>
        <w:szCs w:val="21"/>
      </w:rPr>
    </w:pPr>
    <w:r w:rsidRPr="0000446C">
      <w:rPr>
        <w:rFonts w:ascii="Times New Roman" w:hAnsi="Times New Roman" w:cs="Times New Roman"/>
        <w:sz w:val="21"/>
        <w:szCs w:val="21"/>
      </w:rPr>
      <w:t>Please contact Seth MacKinney (</w:t>
    </w:r>
    <w:hyperlink r:id="rId1" w:history="1">
      <w:r w:rsidRPr="0000446C">
        <w:rPr>
          <w:rStyle w:val="Hyperlink"/>
          <w:rFonts w:ascii="Times New Roman" w:hAnsi="Times New Roman" w:cs="Times New Roman"/>
          <w:sz w:val="21"/>
          <w:szCs w:val="21"/>
        </w:rPr>
        <w:t>seth_mackinney@moran.senate.gov</w:t>
      </w:r>
    </w:hyperlink>
    <w:r w:rsidRPr="0000446C">
      <w:rPr>
        <w:rFonts w:ascii="Times New Roman" w:hAnsi="Times New Roman" w:cs="Times New Roman"/>
        <w:sz w:val="21"/>
        <w:szCs w:val="21"/>
      </w:rPr>
      <w:t>) with Sen. Jerry Moran for more information or to become a cosponsor.</w:t>
    </w:r>
  </w:p>
  <w:p w14:paraId="7B4B7F4C" w14:textId="77777777" w:rsidR="00520B6C" w:rsidRDefault="00520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C09FD" w14:textId="77777777" w:rsidR="005028F7" w:rsidRDefault="005028F7" w:rsidP="00B8084D">
      <w:pPr>
        <w:spacing w:after="0" w:line="240" w:lineRule="auto"/>
      </w:pPr>
      <w:r>
        <w:separator/>
      </w:r>
    </w:p>
  </w:footnote>
  <w:footnote w:type="continuationSeparator" w:id="0">
    <w:p w14:paraId="2B05782E" w14:textId="77777777" w:rsidR="005028F7" w:rsidRDefault="005028F7" w:rsidP="00B808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4D"/>
    <w:rsid w:val="0000446C"/>
    <w:rsid w:val="00011A89"/>
    <w:rsid w:val="00045C33"/>
    <w:rsid w:val="0004680D"/>
    <w:rsid w:val="000D66FB"/>
    <w:rsid w:val="00171266"/>
    <w:rsid w:val="001B5613"/>
    <w:rsid w:val="0021265B"/>
    <w:rsid w:val="00255872"/>
    <w:rsid w:val="003326CB"/>
    <w:rsid w:val="0035167B"/>
    <w:rsid w:val="00376DCC"/>
    <w:rsid w:val="003819B5"/>
    <w:rsid w:val="004018FB"/>
    <w:rsid w:val="00441F71"/>
    <w:rsid w:val="004627E5"/>
    <w:rsid w:val="005028F7"/>
    <w:rsid w:val="00520B6C"/>
    <w:rsid w:val="005B6299"/>
    <w:rsid w:val="006127CA"/>
    <w:rsid w:val="006A7D90"/>
    <w:rsid w:val="006D79DE"/>
    <w:rsid w:val="00754D0E"/>
    <w:rsid w:val="007A65BA"/>
    <w:rsid w:val="00853F7B"/>
    <w:rsid w:val="00880917"/>
    <w:rsid w:val="0089021D"/>
    <w:rsid w:val="008A4B9F"/>
    <w:rsid w:val="009578BA"/>
    <w:rsid w:val="00960967"/>
    <w:rsid w:val="00B8084D"/>
    <w:rsid w:val="00BA451E"/>
    <w:rsid w:val="00BD66D9"/>
    <w:rsid w:val="00C00335"/>
    <w:rsid w:val="00C246EE"/>
    <w:rsid w:val="00C66882"/>
    <w:rsid w:val="00C8164D"/>
    <w:rsid w:val="00D02AB8"/>
    <w:rsid w:val="00D719BF"/>
    <w:rsid w:val="00DD2AE6"/>
    <w:rsid w:val="00E10D79"/>
    <w:rsid w:val="00E42A1F"/>
    <w:rsid w:val="00E948B1"/>
    <w:rsid w:val="00F0254D"/>
    <w:rsid w:val="00F1057A"/>
    <w:rsid w:val="00F4552B"/>
    <w:rsid w:val="00FB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C82C"/>
  <w15:chartTrackingRefBased/>
  <w15:docId w15:val="{D4EFBB9D-9DDF-48B1-A831-013E9CC9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54D"/>
    <w:pPr>
      <w:spacing w:after="0" w:line="240" w:lineRule="auto"/>
    </w:pPr>
  </w:style>
  <w:style w:type="character" w:styleId="Hyperlink">
    <w:name w:val="Hyperlink"/>
    <w:basedOn w:val="DefaultParagraphFont"/>
    <w:uiPriority w:val="99"/>
    <w:unhideWhenUsed/>
    <w:rsid w:val="0089021D"/>
    <w:rPr>
      <w:color w:val="0563C1" w:themeColor="hyperlink"/>
      <w:u w:val="single"/>
    </w:rPr>
  </w:style>
  <w:style w:type="character" w:styleId="UnresolvedMention">
    <w:name w:val="Unresolved Mention"/>
    <w:basedOn w:val="DefaultParagraphFont"/>
    <w:uiPriority w:val="99"/>
    <w:semiHidden/>
    <w:unhideWhenUsed/>
    <w:rsid w:val="0089021D"/>
    <w:rPr>
      <w:color w:val="605E5C"/>
      <w:shd w:val="clear" w:color="auto" w:fill="E1DFDD"/>
    </w:rPr>
  </w:style>
  <w:style w:type="paragraph" w:styleId="Header">
    <w:name w:val="header"/>
    <w:basedOn w:val="Normal"/>
    <w:link w:val="HeaderChar"/>
    <w:uiPriority w:val="99"/>
    <w:unhideWhenUsed/>
    <w:rsid w:val="00B80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84D"/>
  </w:style>
  <w:style w:type="paragraph" w:styleId="Footer">
    <w:name w:val="footer"/>
    <w:basedOn w:val="Normal"/>
    <w:link w:val="FooterChar"/>
    <w:uiPriority w:val="99"/>
    <w:unhideWhenUsed/>
    <w:rsid w:val="00B80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84D"/>
  </w:style>
  <w:style w:type="paragraph" w:styleId="Revision">
    <w:name w:val="Revision"/>
    <w:hidden/>
    <w:uiPriority w:val="99"/>
    <w:semiHidden/>
    <w:rsid w:val="00376DCC"/>
    <w:pPr>
      <w:spacing w:after="0" w:line="240" w:lineRule="auto"/>
    </w:pPr>
  </w:style>
  <w:style w:type="paragraph" w:styleId="BalloonText">
    <w:name w:val="Balloon Text"/>
    <w:basedOn w:val="Normal"/>
    <w:link w:val="BalloonTextChar"/>
    <w:uiPriority w:val="99"/>
    <w:semiHidden/>
    <w:unhideWhenUsed/>
    <w:rsid w:val="00C00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3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seth_mackinney@moran.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3354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MacKinney, Seth (Moran)</dc:creator>
  <cp:keywords/>
  <dc:description/>
  <cp:lastModifiedBy>Porter, Alex (King)</cp:lastModifiedBy>
  <cp:revision>2</cp:revision>
  <cp:lastPrinted>2023-02-16T19:21:00Z</cp:lastPrinted>
  <dcterms:created xsi:type="dcterms:W3CDTF">2023-07-19T15:49:00Z</dcterms:created>
  <dcterms:modified xsi:type="dcterms:W3CDTF">2023-07-19T15:49:00Z</dcterms:modified>
</cp:coreProperties>
</file>